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2A4" w:rsidRPr="00EF3E47" w:rsidRDefault="007C12A4">
      <w:pPr>
        <w:pStyle w:val="NoSpacing"/>
        <w:rPr>
          <w:rFonts w:ascii="Arial Narrow" w:hAnsi="Arial Narrow"/>
          <w:sz w:val="36"/>
          <w:szCs w:val="36"/>
        </w:rPr>
      </w:pPr>
      <w:r w:rsidRPr="00EF3E47">
        <w:rPr>
          <w:rFonts w:ascii="Arial Narrow" w:hAnsi="Arial Narrow"/>
          <w:sz w:val="36"/>
          <w:szCs w:val="36"/>
        </w:rPr>
        <w:t>Explicit strategy instruction lesson format</w:t>
      </w:r>
    </w:p>
    <w:tbl>
      <w:tblPr>
        <w:tblW w:w="0" w:type="auto"/>
        <w:tblBorders>
          <w:top w:val="single" w:sz="4" w:space="0" w:color="31849B"/>
          <w:left w:val="single" w:sz="4" w:space="0" w:color="31849B"/>
          <w:bottom w:val="single" w:sz="4" w:space="0" w:color="31849B"/>
          <w:right w:val="single" w:sz="4" w:space="0" w:color="31849B"/>
          <w:insideH w:val="single" w:sz="4" w:space="0" w:color="31849B"/>
          <w:insideV w:val="single" w:sz="4" w:space="0" w:color="31849B"/>
        </w:tblBorders>
        <w:tblLook w:val="04A0"/>
      </w:tblPr>
      <w:tblGrid>
        <w:gridCol w:w="5341"/>
        <w:gridCol w:w="5341"/>
      </w:tblGrid>
      <w:tr w:rsidR="007C12A4">
        <w:trPr>
          <w:trHeight w:val="707"/>
        </w:trPr>
        <w:tc>
          <w:tcPr>
            <w:tcW w:w="5341" w:type="dxa"/>
            <w:shd w:val="clear" w:color="auto" w:fill="DAEEF3"/>
            <w:vAlign w:val="center"/>
          </w:tcPr>
          <w:p w:rsidR="007C12A4" w:rsidRDefault="007C12A4">
            <w:pPr>
              <w:pStyle w:val="NoSpacing"/>
              <w:rPr>
                <w:b/>
                <w:sz w:val="20"/>
              </w:rPr>
            </w:pPr>
            <w:r>
              <w:rPr>
                <w:b/>
                <w:sz w:val="20"/>
              </w:rPr>
              <w:t>Procedure</w:t>
            </w:r>
          </w:p>
        </w:tc>
        <w:tc>
          <w:tcPr>
            <w:tcW w:w="5341" w:type="dxa"/>
            <w:shd w:val="clear" w:color="auto" w:fill="DAEEF3"/>
            <w:vAlign w:val="center"/>
          </w:tcPr>
          <w:p w:rsidR="007C12A4" w:rsidRDefault="007C12A4">
            <w:pPr>
              <w:pStyle w:val="NoSpacing"/>
              <w:rPr>
                <w:b/>
                <w:sz w:val="20"/>
              </w:rPr>
            </w:pPr>
            <w:r>
              <w:rPr>
                <w:b/>
                <w:sz w:val="20"/>
              </w:rPr>
              <w:t>Lesson</w:t>
            </w:r>
          </w:p>
        </w:tc>
      </w:tr>
      <w:tr w:rsidR="007C12A4">
        <w:trPr>
          <w:trHeight w:val="1134"/>
        </w:trPr>
        <w:tc>
          <w:tcPr>
            <w:tcW w:w="5341" w:type="dxa"/>
            <w:vAlign w:val="center"/>
          </w:tcPr>
          <w:p w:rsidR="007C12A4" w:rsidRDefault="007C12A4">
            <w:pPr>
              <w:pStyle w:val="NoSpacing"/>
              <w:rPr>
                <w:sz w:val="20"/>
              </w:rPr>
            </w:pPr>
            <w:r>
              <w:rPr>
                <w:b/>
                <w:sz w:val="20"/>
              </w:rPr>
              <w:t>Select a text</w:t>
            </w:r>
            <w:r>
              <w:rPr>
                <w:sz w:val="20"/>
              </w:rPr>
              <w:t>. Ensure that the selected text will allow you to demonstrate the comprehension strategy and the ‘teaching idea.’</w:t>
            </w:r>
          </w:p>
        </w:tc>
        <w:tc>
          <w:tcPr>
            <w:tcW w:w="5341" w:type="dxa"/>
          </w:tcPr>
          <w:p w:rsidR="007C12A4" w:rsidRPr="00EF3E47" w:rsidRDefault="007C12A4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 xml:space="preserve">Strategy = </w:t>
            </w:r>
            <w:r w:rsidR="000E5396" w:rsidRPr="00EF3E47">
              <w:rPr>
                <w:sz w:val="24"/>
                <w:szCs w:val="24"/>
              </w:rPr>
              <w:t>Question</w:t>
            </w:r>
            <w:r w:rsidRPr="00EF3E47">
              <w:rPr>
                <w:sz w:val="24"/>
                <w:szCs w:val="24"/>
              </w:rPr>
              <w:t xml:space="preserve">ing </w:t>
            </w:r>
          </w:p>
          <w:p w:rsidR="007C12A4" w:rsidRPr="00EF3E47" w:rsidRDefault="007C12A4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 xml:space="preserve">Text = </w:t>
            </w:r>
            <w:r w:rsidR="000E5396" w:rsidRPr="00EF3E47">
              <w:rPr>
                <w:sz w:val="24"/>
                <w:szCs w:val="24"/>
              </w:rPr>
              <w:t>A Short Anthology of Folk Tales (big book)</w:t>
            </w:r>
          </w:p>
          <w:p w:rsidR="007C12A4" w:rsidRPr="00EF3E47" w:rsidRDefault="007C12A4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 xml:space="preserve">Teaching Idea = </w:t>
            </w:r>
            <w:r w:rsidR="000E5396" w:rsidRPr="00EF3E47">
              <w:rPr>
                <w:sz w:val="24"/>
                <w:szCs w:val="24"/>
              </w:rPr>
              <w:t>Say Something/Ask Something</w:t>
            </w:r>
          </w:p>
          <w:p w:rsidR="002826E6" w:rsidRPr="00EF3E47" w:rsidRDefault="002826E6">
            <w:pPr>
              <w:pStyle w:val="NoSpacing"/>
              <w:rPr>
                <w:sz w:val="24"/>
                <w:szCs w:val="24"/>
              </w:rPr>
            </w:pPr>
          </w:p>
        </w:tc>
      </w:tr>
      <w:tr w:rsidR="007C12A4">
        <w:trPr>
          <w:trHeight w:val="1134"/>
        </w:trPr>
        <w:tc>
          <w:tcPr>
            <w:tcW w:w="5341" w:type="dxa"/>
            <w:vAlign w:val="center"/>
          </w:tcPr>
          <w:p w:rsidR="007C12A4" w:rsidRDefault="007C12A4">
            <w:pPr>
              <w:pStyle w:val="NoSpacing"/>
              <w:rPr>
                <w:sz w:val="20"/>
              </w:rPr>
            </w:pPr>
            <w:r>
              <w:rPr>
                <w:b/>
                <w:sz w:val="20"/>
              </w:rPr>
              <w:t>Review the comprehension strategies</w:t>
            </w:r>
            <w:r>
              <w:rPr>
                <w:sz w:val="20"/>
              </w:rPr>
              <w:t xml:space="preserve"> that have been explicitly taught.</w:t>
            </w:r>
          </w:p>
        </w:tc>
        <w:tc>
          <w:tcPr>
            <w:tcW w:w="5341" w:type="dxa"/>
          </w:tcPr>
          <w:p w:rsidR="007C12A4" w:rsidRPr="00EF3E47" w:rsidRDefault="007C12A4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>Say: We have been learning about the things that happen in our brains as we read texts.</w:t>
            </w:r>
            <w:r w:rsidR="000E5396" w:rsidRPr="00EF3E47">
              <w:rPr>
                <w:sz w:val="24"/>
                <w:szCs w:val="24"/>
              </w:rPr>
              <w:t xml:space="preserve"> S</w:t>
            </w:r>
            <w:r w:rsidRPr="00EF3E47">
              <w:rPr>
                <w:sz w:val="24"/>
                <w:szCs w:val="24"/>
              </w:rPr>
              <w:t>ometimes we use the clues the author is giving us to</w:t>
            </w:r>
            <w:r w:rsidR="000E5396" w:rsidRPr="00EF3E47">
              <w:rPr>
                <w:sz w:val="24"/>
                <w:szCs w:val="24"/>
              </w:rPr>
              <w:t xml:space="preserve"> predict what might happen next</w:t>
            </w:r>
            <w:r w:rsidRPr="00EF3E47">
              <w:rPr>
                <w:sz w:val="24"/>
                <w:szCs w:val="24"/>
              </w:rPr>
              <w:t>.</w:t>
            </w:r>
          </w:p>
          <w:p w:rsidR="007C12A4" w:rsidRPr="00EF3E47" w:rsidRDefault="007C12A4">
            <w:pPr>
              <w:pStyle w:val="NoSpacing"/>
              <w:rPr>
                <w:sz w:val="24"/>
                <w:szCs w:val="24"/>
              </w:rPr>
            </w:pPr>
          </w:p>
        </w:tc>
      </w:tr>
      <w:tr w:rsidR="007C12A4">
        <w:trPr>
          <w:trHeight w:val="1134"/>
        </w:trPr>
        <w:tc>
          <w:tcPr>
            <w:tcW w:w="5341" w:type="dxa"/>
            <w:vAlign w:val="center"/>
          </w:tcPr>
          <w:p w:rsidR="007C12A4" w:rsidRDefault="007C12A4">
            <w:pPr>
              <w:pStyle w:val="NoSpacing"/>
              <w:rPr>
                <w:sz w:val="20"/>
              </w:rPr>
            </w:pPr>
            <w:r>
              <w:rPr>
                <w:b/>
                <w:sz w:val="20"/>
              </w:rPr>
              <w:t>Highlight the comprehension strategy</w:t>
            </w:r>
            <w:r>
              <w:rPr>
                <w:sz w:val="20"/>
              </w:rPr>
              <w:t xml:space="preserve"> that will be the focus for the explicit instruction.</w:t>
            </w:r>
          </w:p>
        </w:tc>
        <w:tc>
          <w:tcPr>
            <w:tcW w:w="5341" w:type="dxa"/>
          </w:tcPr>
          <w:p w:rsidR="007C12A4" w:rsidRPr="00EF3E47" w:rsidRDefault="007C12A4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>Say: Today we are going to practi</w:t>
            </w:r>
            <w:r w:rsidR="00BA2C5A">
              <w:rPr>
                <w:sz w:val="24"/>
                <w:szCs w:val="24"/>
              </w:rPr>
              <w:t>s</w:t>
            </w:r>
            <w:r w:rsidRPr="00EF3E47">
              <w:rPr>
                <w:sz w:val="24"/>
                <w:szCs w:val="24"/>
              </w:rPr>
              <w:t xml:space="preserve">e using the comprehension strategy called </w:t>
            </w:r>
            <w:r w:rsidR="000E5396" w:rsidRPr="00EF3E47">
              <w:rPr>
                <w:sz w:val="24"/>
                <w:szCs w:val="24"/>
              </w:rPr>
              <w:t>Questioning</w:t>
            </w:r>
            <w:r w:rsidRPr="00EF3E47">
              <w:rPr>
                <w:sz w:val="24"/>
                <w:szCs w:val="24"/>
              </w:rPr>
              <w:t xml:space="preserve">. </w:t>
            </w:r>
          </w:p>
          <w:p w:rsidR="007C12A4" w:rsidRPr="00EF3E47" w:rsidRDefault="007C12A4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 xml:space="preserve">When we </w:t>
            </w:r>
            <w:r w:rsidR="00B358D4" w:rsidRPr="00EF3E47">
              <w:rPr>
                <w:sz w:val="24"/>
                <w:szCs w:val="24"/>
              </w:rPr>
              <w:t>stop to question we are wondering about the text and this helps us understand.</w:t>
            </w:r>
          </w:p>
          <w:p w:rsidR="007C12A4" w:rsidRPr="00EF3E47" w:rsidRDefault="007C12A4">
            <w:pPr>
              <w:pStyle w:val="NoSpacing"/>
              <w:rPr>
                <w:sz w:val="24"/>
                <w:szCs w:val="24"/>
              </w:rPr>
            </w:pPr>
          </w:p>
        </w:tc>
      </w:tr>
      <w:tr w:rsidR="007C12A4">
        <w:trPr>
          <w:cantSplit/>
          <w:trHeight w:val="1440"/>
        </w:trPr>
        <w:tc>
          <w:tcPr>
            <w:tcW w:w="5341" w:type="dxa"/>
            <w:vMerge w:val="restart"/>
            <w:vAlign w:val="center"/>
          </w:tcPr>
          <w:p w:rsidR="007C12A4" w:rsidRDefault="007C12A4">
            <w:pPr>
              <w:pStyle w:val="NoSpacing"/>
              <w:rPr>
                <w:sz w:val="20"/>
              </w:rPr>
            </w:pPr>
            <w:r>
              <w:rPr>
                <w:b/>
                <w:sz w:val="20"/>
              </w:rPr>
              <w:t>Model The Strategy</w:t>
            </w:r>
            <w:r>
              <w:rPr>
                <w:sz w:val="20"/>
              </w:rPr>
              <w:t xml:space="preserve"> </w:t>
            </w:r>
          </w:p>
          <w:p w:rsidR="007C12A4" w:rsidRDefault="007C12A4">
            <w:pPr>
              <w:pStyle w:val="NoSpacing"/>
              <w:rPr>
                <w:sz w:val="20"/>
              </w:rPr>
            </w:pPr>
          </w:p>
          <w:p w:rsidR="007C12A4" w:rsidRDefault="007C12A4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Read a section of a text and use ‘think aloud’ to describe the comprehension strategy that is the lesson focus.</w:t>
            </w:r>
          </w:p>
          <w:p w:rsidR="007C12A4" w:rsidRDefault="007C12A4">
            <w:pPr>
              <w:pStyle w:val="NoSpacing"/>
              <w:rPr>
                <w:sz w:val="20"/>
              </w:rPr>
            </w:pPr>
          </w:p>
          <w:p w:rsidR="007C12A4" w:rsidRDefault="007C12A4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Demonstrate how to use the ‘teaching idea’ to support the comprehension strategy.</w:t>
            </w:r>
          </w:p>
        </w:tc>
        <w:tc>
          <w:tcPr>
            <w:tcW w:w="5341" w:type="dxa"/>
            <w:tcBorders>
              <w:bottom w:val="single" w:sz="4" w:space="0" w:color="auto"/>
            </w:tcBorders>
          </w:tcPr>
          <w:p w:rsidR="002826E6" w:rsidRPr="00EF3E47" w:rsidRDefault="00B358D4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>I</w:t>
            </w:r>
            <w:r w:rsidR="002826E6" w:rsidRPr="00EF3E47">
              <w:rPr>
                <w:sz w:val="24"/>
                <w:szCs w:val="24"/>
              </w:rPr>
              <w:t xml:space="preserve">ntroduction- </w:t>
            </w:r>
          </w:p>
          <w:p w:rsidR="00B358D4" w:rsidRPr="00EF3E47" w:rsidRDefault="002826E6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 xml:space="preserve">Talk about the </w:t>
            </w:r>
            <w:r w:rsidR="00B358D4" w:rsidRPr="00EF3E47">
              <w:rPr>
                <w:sz w:val="24"/>
                <w:szCs w:val="24"/>
              </w:rPr>
              <w:t>front cover</w:t>
            </w:r>
            <w:r w:rsidRPr="00EF3E47">
              <w:rPr>
                <w:sz w:val="24"/>
                <w:szCs w:val="24"/>
              </w:rPr>
              <w:t>-</w:t>
            </w:r>
          </w:p>
          <w:p w:rsidR="00B358D4" w:rsidRPr="00EF3E47" w:rsidRDefault="00B358D4" w:rsidP="00B358D4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>What i</w:t>
            </w:r>
            <w:r w:rsidR="002826E6" w:rsidRPr="00EF3E47">
              <w:rPr>
                <w:sz w:val="24"/>
                <w:szCs w:val="24"/>
              </w:rPr>
              <w:t>s</w:t>
            </w:r>
            <w:r w:rsidRPr="00EF3E47">
              <w:rPr>
                <w:sz w:val="24"/>
                <w:szCs w:val="24"/>
              </w:rPr>
              <w:t xml:space="preserve"> a folk tale? </w:t>
            </w:r>
          </w:p>
          <w:p w:rsidR="00B358D4" w:rsidRDefault="00B358D4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>Refer to section about folk tales.</w:t>
            </w:r>
          </w:p>
          <w:p w:rsidR="00EF3E47" w:rsidRPr="00EF3E47" w:rsidRDefault="00EF3E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that folk tales are narratives.</w:t>
            </w:r>
          </w:p>
          <w:p w:rsidR="002826E6" w:rsidRPr="00EF3E47" w:rsidRDefault="00B358D4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>What is a short anthology? Clue</w:t>
            </w:r>
            <w:r w:rsidR="00BA2C5A">
              <w:rPr>
                <w:sz w:val="24"/>
                <w:szCs w:val="24"/>
              </w:rPr>
              <w:t>:</w:t>
            </w:r>
            <w:r w:rsidRPr="00EF3E47">
              <w:rPr>
                <w:sz w:val="24"/>
                <w:szCs w:val="24"/>
              </w:rPr>
              <w:t xml:space="preserve"> there are 5 different folk tales.</w:t>
            </w:r>
            <w:r w:rsidR="002826E6" w:rsidRPr="00EF3E47">
              <w:rPr>
                <w:sz w:val="24"/>
                <w:szCs w:val="24"/>
              </w:rPr>
              <w:t xml:space="preserve"> </w:t>
            </w:r>
          </w:p>
          <w:p w:rsidR="00B358D4" w:rsidRPr="00EF3E47" w:rsidRDefault="00B358D4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>How do the pictures help you think this?</w:t>
            </w:r>
          </w:p>
          <w:p w:rsidR="00C2294F" w:rsidRPr="00EF3E47" w:rsidRDefault="00C2294F">
            <w:pPr>
              <w:pStyle w:val="NoSpacing"/>
              <w:rPr>
                <w:sz w:val="24"/>
                <w:szCs w:val="24"/>
              </w:rPr>
            </w:pPr>
          </w:p>
          <w:p w:rsidR="002826E6" w:rsidRPr="00EF3E47" w:rsidRDefault="00C2294F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 xml:space="preserve">Turn to </w:t>
            </w:r>
            <w:r w:rsidRPr="00EF3E47">
              <w:rPr>
                <w:i/>
                <w:sz w:val="24"/>
                <w:szCs w:val="24"/>
              </w:rPr>
              <w:t xml:space="preserve">Hedda and the Ogre. </w:t>
            </w:r>
            <w:r w:rsidRPr="00EF3E47">
              <w:rPr>
                <w:sz w:val="24"/>
                <w:szCs w:val="24"/>
              </w:rPr>
              <w:t>Look at picture and say something as a class group.</w:t>
            </w:r>
            <w:r w:rsidR="00EF3E47">
              <w:rPr>
                <w:sz w:val="24"/>
                <w:szCs w:val="24"/>
              </w:rPr>
              <w:t xml:space="preserve"> </w:t>
            </w:r>
          </w:p>
          <w:p w:rsidR="007C12A4" w:rsidRPr="00EF3E47" w:rsidRDefault="007C12A4" w:rsidP="00B358D4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 xml:space="preserve">Read the first paragraph and ‘think aloud’ to demonstrate how to </w:t>
            </w:r>
            <w:r w:rsidR="00B358D4" w:rsidRPr="00EF3E47">
              <w:rPr>
                <w:b/>
                <w:sz w:val="24"/>
                <w:szCs w:val="24"/>
              </w:rPr>
              <w:t>question</w:t>
            </w:r>
            <w:r w:rsidRPr="00EF3E47">
              <w:rPr>
                <w:b/>
                <w:sz w:val="24"/>
                <w:szCs w:val="24"/>
              </w:rPr>
              <w:t>.</w:t>
            </w:r>
          </w:p>
        </w:tc>
      </w:tr>
      <w:tr w:rsidR="007C12A4">
        <w:trPr>
          <w:cantSplit/>
          <w:trHeight w:val="896"/>
        </w:trPr>
        <w:tc>
          <w:tcPr>
            <w:tcW w:w="5341" w:type="dxa"/>
            <w:vMerge/>
            <w:vAlign w:val="center"/>
          </w:tcPr>
          <w:p w:rsidR="007C12A4" w:rsidRDefault="007C12A4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5341" w:type="dxa"/>
            <w:tcBorders>
              <w:top w:val="single" w:sz="4" w:space="0" w:color="auto"/>
            </w:tcBorders>
          </w:tcPr>
          <w:p w:rsidR="00C2294F" w:rsidRPr="00EF3E47" w:rsidRDefault="00C2294F" w:rsidP="00C2294F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 xml:space="preserve">Direct students to the </w:t>
            </w:r>
            <w:r w:rsidRPr="00BA2C5A">
              <w:rPr>
                <w:b/>
                <w:sz w:val="24"/>
                <w:szCs w:val="24"/>
              </w:rPr>
              <w:t xml:space="preserve">Say Something </w:t>
            </w:r>
            <w:r w:rsidR="00BA2C5A" w:rsidRPr="00BA2C5A">
              <w:rPr>
                <w:b/>
                <w:sz w:val="24"/>
                <w:szCs w:val="24"/>
              </w:rPr>
              <w:t>C</w:t>
            </w:r>
            <w:r w:rsidRPr="00BA2C5A">
              <w:rPr>
                <w:b/>
                <w:sz w:val="24"/>
                <w:szCs w:val="24"/>
              </w:rPr>
              <w:t>hart</w:t>
            </w:r>
            <w:r w:rsidRPr="00EF3E47">
              <w:rPr>
                <w:sz w:val="24"/>
                <w:szCs w:val="24"/>
              </w:rPr>
              <w:t xml:space="preserve">. Explain that we will follow this strategy but </w:t>
            </w:r>
            <w:r w:rsidRPr="00EF3E47">
              <w:rPr>
                <w:b/>
                <w:sz w:val="24"/>
                <w:szCs w:val="24"/>
              </w:rPr>
              <w:t>ask questions</w:t>
            </w:r>
            <w:r w:rsidRPr="00EF3E47">
              <w:rPr>
                <w:sz w:val="24"/>
                <w:szCs w:val="24"/>
              </w:rPr>
              <w:t xml:space="preserve"> instead. </w:t>
            </w:r>
          </w:p>
          <w:p w:rsidR="00C2294F" w:rsidRPr="00EF3E47" w:rsidRDefault="00C2294F" w:rsidP="001435D5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 xml:space="preserve">Refer them to </w:t>
            </w:r>
            <w:r w:rsidR="001435D5">
              <w:rPr>
                <w:sz w:val="24"/>
                <w:szCs w:val="24"/>
              </w:rPr>
              <w:t>class</w:t>
            </w:r>
            <w:r w:rsidRPr="00EF3E47">
              <w:rPr>
                <w:sz w:val="24"/>
                <w:szCs w:val="24"/>
              </w:rPr>
              <w:t xml:space="preserve"> chart showing a list of possible question starters.</w:t>
            </w:r>
          </w:p>
        </w:tc>
      </w:tr>
      <w:tr w:rsidR="007C12A4">
        <w:trPr>
          <w:cantSplit/>
          <w:trHeight w:val="1352"/>
        </w:trPr>
        <w:tc>
          <w:tcPr>
            <w:tcW w:w="5341" w:type="dxa"/>
            <w:tcBorders>
              <w:bottom w:val="single" w:sz="4" w:space="0" w:color="31849B"/>
            </w:tcBorders>
            <w:vAlign w:val="center"/>
          </w:tcPr>
          <w:p w:rsidR="007C12A4" w:rsidRDefault="007C12A4">
            <w:pPr>
              <w:pStyle w:val="NoSpacing"/>
              <w:rPr>
                <w:sz w:val="20"/>
              </w:rPr>
            </w:pPr>
            <w:r>
              <w:rPr>
                <w:b/>
                <w:sz w:val="20"/>
              </w:rPr>
              <w:t>Guided Support</w:t>
            </w:r>
            <w:r>
              <w:rPr>
                <w:sz w:val="20"/>
              </w:rPr>
              <w:t xml:space="preserve"> </w:t>
            </w:r>
          </w:p>
          <w:p w:rsidR="007C12A4" w:rsidRDefault="007C12A4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Read the next small section of text and ask students to turn to a partner and apply the strategy.</w:t>
            </w:r>
          </w:p>
        </w:tc>
        <w:tc>
          <w:tcPr>
            <w:tcW w:w="5341" w:type="dxa"/>
            <w:tcBorders>
              <w:bottom w:val="single" w:sz="4" w:space="0" w:color="31849B"/>
            </w:tcBorders>
          </w:tcPr>
          <w:p w:rsidR="007C12A4" w:rsidRPr="00EF3E47" w:rsidRDefault="007C12A4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 xml:space="preserve">Ask students to use </w:t>
            </w:r>
            <w:r w:rsidR="00C2294F" w:rsidRPr="00EF3E47">
              <w:rPr>
                <w:b/>
                <w:sz w:val="24"/>
                <w:szCs w:val="24"/>
              </w:rPr>
              <w:t>Ask Something</w:t>
            </w:r>
            <w:r w:rsidRPr="00EF3E47">
              <w:rPr>
                <w:i/>
                <w:sz w:val="24"/>
                <w:szCs w:val="24"/>
              </w:rPr>
              <w:t xml:space="preserve"> </w:t>
            </w:r>
            <w:r w:rsidRPr="00EF3E47">
              <w:rPr>
                <w:sz w:val="24"/>
                <w:szCs w:val="24"/>
              </w:rPr>
              <w:t xml:space="preserve">with their thinking partner </w:t>
            </w:r>
            <w:r w:rsidR="00C2294F" w:rsidRPr="00EF3E47">
              <w:rPr>
                <w:sz w:val="24"/>
                <w:szCs w:val="24"/>
              </w:rPr>
              <w:t>after</w:t>
            </w:r>
            <w:r w:rsidRPr="00EF3E47">
              <w:rPr>
                <w:sz w:val="24"/>
                <w:szCs w:val="24"/>
              </w:rPr>
              <w:t xml:space="preserve"> read</w:t>
            </w:r>
            <w:r w:rsidR="00C2294F" w:rsidRPr="00EF3E47">
              <w:rPr>
                <w:sz w:val="24"/>
                <w:szCs w:val="24"/>
              </w:rPr>
              <w:t>ing/listening to</w:t>
            </w:r>
            <w:r w:rsidRPr="00EF3E47">
              <w:rPr>
                <w:sz w:val="24"/>
                <w:szCs w:val="24"/>
              </w:rPr>
              <w:t xml:space="preserve"> the next paragraph.</w:t>
            </w:r>
          </w:p>
          <w:p w:rsidR="007C12A4" w:rsidRPr="00EF3E47" w:rsidRDefault="00C2294F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 xml:space="preserve">Continue in this manner until the text is finished. </w:t>
            </w:r>
          </w:p>
        </w:tc>
      </w:tr>
      <w:tr w:rsidR="007C12A4">
        <w:trPr>
          <w:trHeight w:val="1134"/>
        </w:trPr>
        <w:tc>
          <w:tcPr>
            <w:tcW w:w="5341" w:type="dxa"/>
            <w:vAlign w:val="center"/>
          </w:tcPr>
          <w:p w:rsidR="007C12A4" w:rsidRDefault="007C12A4">
            <w:pPr>
              <w:pStyle w:val="NoSpacing"/>
              <w:rPr>
                <w:b/>
                <w:sz w:val="20"/>
              </w:rPr>
            </w:pPr>
            <w:r>
              <w:rPr>
                <w:b/>
                <w:sz w:val="20"/>
              </w:rPr>
              <w:t>Students Practice.</w:t>
            </w:r>
          </w:p>
          <w:p w:rsidR="007C12A4" w:rsidRDefault="007C12A4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 xml:space="preserve"> Continue reading sections of the text with reduced teacher support.</w:t>
            </w:r>
          </w:p>
        </w:tc>
        <w:tc>
          <w:tcPr>
            <w:tcW w:w="5341" w:type="dxa"/>
          </w:tcPr>
          <w:p w:rsidR="007C12A4" w:rsidRPr="00EF3E47" w:rsidRDefault="00C2294F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 xml:space="preserve">Read </w:t>
            </w:r>
            <w:r w:rsidRPr="00EF3E47">
              <w:rPr>
                <w:b/>
                <w:i/>
                <w:sz w:val="24"/>
                <w:szCs w:val="24"/>
              </w:rPr>
              <w:t>The Shepherd’s Mistake</w:t>
            </w:r>
            <w:r w:rsidR="00EF3E47" w:rsidRPr="00EF3E47">
              <w:rPr>
                <w:b/>
                <w:i/>
                <w:sz w:val="24"/>
                <w:szCs w:val="24"/>
              </w:rPr>
              <w:t xml:space="preserve"> </w:t>
            </w:r>
            <w:r w:rsidR="00EF3E47" w:rsidRPr="00EF3E47">
              <w:rPr>
                <w:sz w:val="24"/>
                <w:szCs w:val="24"/>
              </w:rPr>
              <w:t>with your questioning partner.</w:t>
            </w:r>
            <w:r w:rsidR="001435D5">
              <w:rPr>
                <w:sz w:val="24"/>
                <w:szCs w:val="24"/>
              </w:rPr>
              <w:t xml:space="preserve"> Stop after each section to </w:t>
            </w:r>
            <w:r w:rsidR="001435D5" w:rsidRPr="001435D5">
              <w:rPr>
                <w:b/>
                <w:sz w:val="24"/>
                <w:szCs w:val="24"/>
              </w:rPr>
              <w:t>Ask Something</w:t>
            </w:r>
            <w:r w:rsidR="001435D5">
              <w:rPr>
                <w:sz w:val="24"/>
                <w:szCs w:val="24"/>
              </w:rPr>
              <w:t>.</w:t>
            </w:r>
          </w:p>
          <w:p w:rsidR="007C12A4" w:rsidRDefault="00EF3E47" w:rsidP="00EF3E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 focus on s</w:t>
            </w:r>
            <w:r w:rsidR="007C12A4" w:rsidRPr="00EF3E47">
              <w:rPr>
                <w:sz w:val="24"/>
                <w:szCs w:val="24"/>
              </w:rPr>
              <w:t>pecific group of students.</w:t>
            </w:r>
          </w:p>
          <w:p w:rsidR="00EF3E47" w:rsidRPr="00EF3E47" w:rsidRDefault="00EF3E47" w:rsidP="00EF3E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*Complete Three-Circle Map to locate narrative parts.</w:t>
            </w:r>
          </w:p>
        </w:tc>
      </w:tr>
      <w:tr w:rsidR="007C12A4">
        <w:trPr>
          <w:trHeight w:val="1134"/>
        </w:trPr>
        <w:tc>
          <w:tcPr>
            <w:tcW w:w="5341" w:type="dxa"/>
            <w:vAlign w:val="center"/>
          </w:tcPr>
          <w:p w:rsidR="007C12A4" w:rsidRDefault="007C12A4">
            <w:pPr>
              <w:pStyle w:val="NoSpacing"/>
              <w:rPr>
                <w:sz w:val="20"/>
              </w:rPr>
            </w:pPr>
            <w:r>
              <w:rPr>
                <w:b/>
                <w:sz w:val="20"/>
              </w:rPr>
              <w:t>Reflect</w:t>
            </w:r>
            <w:r>
              <w:rPr>
                <w:sz w:val="20"/>
              </w:rPr>
              <w:t xml:space="preserve"> on how using the ‘teaching idea’ and strategy helps to understand the text.</w:t>
            </w:r>
          </w:p>
        </w:tc>
        <w:tc>
          <w:tcPr>
            <w:tcW w:w="5341" w:type="dxa"/>
          </w:tcPr>
          <w:p w:rsidR="007C12A4" w:rsidRPr="00EF3E47" w:rsidRDefault="007C12A4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 xml:space="preserve">How might you use </w:t>
            </w:r>
            <w:r w:rsidR="00EF3E47">
              <w:rPr>
                <w:sz w:val="24"/>
                <w:szCs w:val="24"/>
              </w:rPr>
              <w:t>QUESTIONING</w:t>
            </w:r>
            <w:r w:rsidRPr="00EF3E47">
              <w:rPr>
                <w:sz w:val="24"/>
                <w:szCs w:val="24"/>
              </w:rPr>
              <w:t xml:space="preserve"> in the future?</w:t>
            </w:r>
          </w:p>
          <w:p w:rsidR="007C12A4" w:rsidRPr="00EF3E47" w:rsidRDefault="007C12A4">
            <w:pPr>
              <w:pStyle w:val="NoSpacing"/>
              <w:rPr>
                <w:sz w:val="24"/>
                <w:szCs w:val="24"/>
              </w:rPr>
            </w:pPr>
            <w:r w:rsidRPr="00EF3E47">
              <w:rPr>
                <w:sz w:val="24"/>
                <w:szCs w:val="24"/>
              </w:rPr>
              <w:t xml:space="preserve">How did </w:t>
            </w:r>
            <w:r w:rsidR="00EF3E47">
              <w:rPr>
                <w:sz w:val="24"/>
                <w:szCs w:val="24"/>
              </w:rPr>
              <w:t>QUESTIONING</w:t>
            </w:r>
            <w:r w:rsidRPr="00EF3E47">
              <w:rPr>
                <w:sz w:val="24"/>
                <w:szCs w:val="24"/>
              </w:rPr>
              <w:t xml:space="preserve"> help you to </w:t>
            </w:r>
            <w:r w:rsidR="00EF3E47">
              <w:rPr>
                <w:sz w:val="24"/>
                <w:szCs w:val="24"/>
              </w:rPr>
              <w:t xml:space="preserve">understand </w:t>
            </w:r>
            <w:r w:rsidRPr="00EF3E47">
              <w:rPr>
                <w:sz w:val="24"/>
                <w:szCs w:val="24"/>
              </w:rPr>
              <w:t>the text?</w:t>
            </w:r>
          </w:p>
          <w:p w:rsidR="007C12A4" w:rsidRPr="00EF3E47" w:rsidRDefault="007C12A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7C12A4" w:rsidRDefault="007C12A4">
      <w:pPr>
        <w:pStyle w:val="NoSpacing"/>
        <w:rPr>
          <w:sz w:val="20"/>
        </w:rPr>
      </w:pPr>
    </w:p>
    <w:sectPr w:rsidR="007C12A4" w:rsidSect="00454B90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742" w:rsidRDefault="00F00742">
      <w:pPr>
        <w:spacing w:after="0" w:line="240" w:lineRule="auto"/>
      </w:pPr>
      <w:r>
        <w:separator/>
      </w:r>
    </w:p>
  </w:endnote>
  <w:endnote w:type="continuationSeparator" w:id="0">
    <w:p w:rsidR="00F00742" w:rsidRDefault="00F00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Futura">
    <w:panose1 w:val="020B0602020204020303"/>
    <w:charset w:val="00"/>
    <w:family w:val="auto"/>
    <w:pitch w:val="variable"/>
    <w:sig w:usb0="03000000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2A4" w:rsidRDefault="00DD0E58">
    <w:pPr>
      <w:pStyle w:val="Footer"/>
      <w:rPr>
        <w:sz w:val="16"/>
      </w:rPr>
    </w:pPr>
    <w:r>
      <w:rPr>
        <w:noProof/>
        <w:sz w:val="16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6276975</wp:posOffset>
          </wp:positionH>
          <wp:positionV relativeFrom="paragraph">
            <wp:posOffset>-60960</wp:posOffset>
          </wp:positionV>
          <wp:extent cx="561975" cy="200025"/>
          <wp:effectExtent l="19050" t="0" r="9525" b="0"/>
          <wp:wrapSquare wrapText="bothSides"/>
          <wp:docPr id="1" name="Picture 1" descr="http://acacia.cowellas.sa.edu.au/cms2/files/images/Neals_logo_small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acacia.cowellas.sa.edu.au/cms2/files/images/Neals_logo_small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200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C12A4">
      <w:rPr>
        <w:sz w:val="16"/>
      </w:rPr>
      <w:t xml:space="preserve">© The National Partnership on Literacy and Numeracy is a joint initiative between the Commonwealth of Australia and the State of New South Wales  </w:t>
    </w:r>
  </w:p>
  <w:p w:rsidR="007C12A4" w:rsidRDefault="007C12A4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742" w:rsidRDefault="00F00742">
      <w:pPr>
        <w:spacing w:after="0" w:line="240" w:lineRule="auto"/>
      </w:pPr>
      <w:r>
        <w:separator/>
      </w:r>
    </w:p>
  </w:footnote>
  <w:footnote w:type="continuationSeparator" w:id="0">
    <w:p w:rsidR="00F00742" w:rsidRDefault="00F00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65D6F"/>
    <w:multiLevelType w:val="hybridMultilevel"/>
    <w:tmpl w:val="ACF828DA"/>
    <w:lvl w:ilvl="0" w:tplc="7F24EE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hint="default"/>
      </w:rPr>
    </w:lvl>
    <w:lvl w:ilvl="1" w:tplc="501465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92A5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A23C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4093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4C9B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F60E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1E17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EDC18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112DB7"/>
    <w:multiLevelType w:val="hybridMultilevel"/>
    <w:tmpl w:val="E69CB4AE"/>
    <w:lvl w:ilvl="0" w:tplc="5FB062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90B5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F237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E60A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C24E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48A6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1635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E0BA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7613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D3237B"/>
    <w:multiLevelType w:val="hybridMultilevel"/>
    <w:tmpl w:val="4FC21E52"/>
    <w:lvl w:ilvl="0" w:tplc="20FCE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E47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C8E7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C44E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630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0A35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18E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80B2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9A1F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826E6"/>
    <w:rsid w:val="000E5396"/>
    <w:rsid w:val="001435D5"/>
    <w:rsid w:val="001633F2"/>
    <w:rsid w:val="002826E6"/>
    <w:rsid w:val="00454B90"/>
    <w:rsid w:val="004A441C"/>
    <w:rsid w:val="006C18D6"/>
    <w:rsid w:val="007C12A4"/>
    <w:rsid w:val="00B358D4"/>
    <w:rsid w:val="00BA2C5A"/>
    <w:rsid w:val="00C2294F"/>
    <w:rsid w:val="00DD0E58"/>
    <w:rsid w:val="00EF3E47"/>
    <w:rsid w:val="00F00742"/>
  </w:rsids>
  <m:mathPr>
    <m:mathFont m:val="Baskerville Old Fac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B9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semiHidden/>
    <w:unhideWhenUsed/>
    <w:rsid w:val="00454B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semiHidden/>
    <w:rsid w:val="00454B90"/>
  </w:style>
  <w:style w:type="paragraph" w:styleId="Footer">
    <w:name w:val="footer"/>
    <w:basedOn w:val="Normal"/>
    <w:semiHidden/>
    <w:unhideWhenUsed/>
    <w:rsid w:val="00454B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rsid w:val="00454B90"/>
  </w:style>
  <w:style w:type="paragraph" w:styleId="BalloonText">
    <w:name w:val="Balloon Text"/>
    <w:basedOn w:val="Normal"/>
    <w:semiHidden/>
    <w:unhideWhenUsed/>
    <w:rsid w:val="00454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semiHidden/>
    <w:rsid w:val="00454B9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4B90"/>
    <w:pPr>
      <w:autoSpaceDE w:val="0"/>
      <w:autoSpaceDN w:val="0"/>
      <w:adjustRightInd w:val="0"/>
    </w:pPr>
    <w:rPr>
      <w:rFonts w:ascii="Futura" w:hAnsi="Futura" w:cs="Futura"/>
      <w:color w:val="000000"/>
      <w:sz w:val="24"/>
      <w:szCs w:val="24"/>
      <w:lang w:eastAsia="en-US"/>
    </w:rPr>
  </w:style>
  <w:style w:type="character" w:customStyle="1" w:styleId="A6">
    <w:name w:val="A6"/>
    <w:rsid w:val="00454B90"/>
    <w:rPr>
      <w:rFonts w:cs="Futura"/>
      <w:color w:val="221E1F"/>
      <w:sz w:val="52"/>
      <w:szCs w:val="52"/>
    </w:rPr>
  </w:style>
  <w:style w:type="paragraph" w:styleId="NoSpacing">
    <w:name w:val="No Spacing"/>
    <w:qFormat/>
    <w:rsid w:val="00454B9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1967</Characters>
  <Application>Microsoft Macintosh Word</Application>
  <DocSecurity>0</DocSecurity>
  <Lines>16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Explicit strategy instruction lesson format</vt:lpstr>
    </vt:vector>
  </TitlesOfParts>
  <Company>DET NSW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Explicit strategy instruction lesson format</dc:title>
  <dc:creator>MEDGECUMBE</dc:creator>
  <cp:lastModifiedBy>Rasheeda Flight</cp:lastModifiedBy>
  <cp:revision>2</cp:revision>
  <cp:lastPrinted>2010-03-07T10:39:00Z</cp:lastPrinted>
  <dcterms:created xsi:type="dcterms:W3CDTF">2010-07-08T00:34:00Z</dcterms:created>
  <dcterms:modified xsi:type="dcterms:W3CDTF">2010-07-08T00:34:00Z</dcterms:modified>
</cp:coreProperties>
</file>